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威海正土房地产开发有限公司重整案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债权清偿方案选择表</w:t>
      </w:r>
    </w:p>
    <w:p>
      <w:pPr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25"/>
        <w:gridCol w:w="1799"/>
        <w:gridCol w:w="1799"/>
        <w:gridCol w:w="179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7197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威海正土房地产开发有限公司重整计划债权清偿方案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方案A</w:t>
            </w:r>
          </w:p>
        </w:tc>
        <w:tc>
          <w:tcPr>
            <w:tcW w:w="7197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拍卖大庆路108号楼土地使用权后以现金+抵房清偿   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方案B</w:t>
            </w:r>
          </w:p>
        </w:tc>
        <w:tc>
          <w:tcPr>
            <w:tcW w:w="7197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破产债权清偿期限延长一年至2023年10月28日     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债权人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代理人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2" w:hRule="atLeast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  <w:tc>
          <w:tcPr>
            <w:tcW w:w="7197" w:type="dxa"/>
            <w:gridSpan w:val="4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本表格为《关于确定正土公司重整计划债权清偿方案的说明》的附属表格，方案的具体内容以说明表述为准；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债权人应在方案A或方案B后的（ ）中打</w:t>
            </w:r>
            <w:r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，若在两个方案后均打</w:t>
            </w:r>
            <w:r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，视为同意方案A；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本表格应由债权人本人或在管理人备案的代理人签字方为有效；</w:t>
            </w:r>
            <w:bookmarkStart w:id="0" w:name="_GoBack"/>
            <w:bookmarkEnd w:id="0"/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D5D88"/>
    <w:multiLevelType w:val="singleLevel"/>
    <w:tmpl w:val="4ADD5D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OGQ4YzI1Mzk5NDlmOGIzNjFiYjVhOGJkM2JlNzMifQ=="/>
  </w:docVars>
  <w:rsids>
    <w:rsidRoot w:val="00000000"/>
    <w:rsid w:val="27D8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2022-10-24T16:02:43Z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8174C6046705451D832996FC7CF7B47C</vt:lpwstr>
  </property>
</Properties>
</file>